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LIP2000转染试剂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00" w:firstLineChars="200"/>
        <w:textAlignment w:val="auto"/>
        <w:rPr>
          <w:rFonts w:hint="eastAsia"/>
          <w:spacing w:val="-1"/>
          <w:w w:val="95"/>
          <w:sz w:val="16"/>
          <w:szCs w:val="16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lip2000高效DNA TR是一种新型的阳离子脂质体转染试剂适合于将核酸DNA转染入真核细胞，具有低细胞毒性；对多种类型的细胞都具有高转染效率；转染时血清的存在不影响转染效率的优点。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00" w:firstLineChars="200"/>
        <w:textAlignment w:val="auto"/>
        <w:rPr>
          <w:rFonts w:hint="eastAsia"/>
          <w:spacing w:val="-1"/>
          <w:w w:val="95"/>
          <w:sz w:val="16"/>
          <w:szCs w:val="16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lip2000高效DNA TR转染试剂对于常见的哺乳动物细胞具有非常高的转染效率、重复性好、操作简单、无明显的细胞毒性，并且对于贴壁细胞和悬浮细胞都适用。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00" w:firstLineChars="200"/>
        <w:textAlignment w:val="auto"/>
        <w:rPr>
          <w:rFonts w:hint="eastAsia"/>
          <w:spacing w:val="-1"/>
          <w:w w:val="95"/>
          <w:sz w:val="16"/>
          <w:szCs w:val="16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lip2000高效DNA TR主要适用于DNA 等单一成分的细胞转染。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00" w:firstLineChars="200"/>
        <w:textAlignment w:val="auto"/>
        <w:rPr>
          <w:rFonts w:hint="eastAsia"/>
          <w:spacing w:val="-1"/>
          <w:w w:val="95"/>
          <w:sz w:val="16"/>
          <w:szCs w:val="16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lip2000高效DNA TR转染过表达质粒后，通常24～48 h后达到较高的蛋白表达水平，并且很多情况下蛋白表达量在转染后48 h 显著高于转染后24 h。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00" w:firstLineChars="200"/>
        <w:textAlignment w:val="auto"/>
        <w:rPr>
          <w:rFonts w:hint="default"/>
          <w:spacing w:val="-1"/>
          <w:w w:val="95"/>
          <w:sz w:val="16"/>
          <w:szCs w:val="16"/>
          <w:lang w:val="en-US" w:eastAsia="zh-CN"/>
        </w:rPr>
      </w:pPr>
      <w:r>
        <w:rPr>
          <w:rFonts w:hint="default"/>
          <w:spacing w:val="-1"/>
          <w:w w:val="95"/>
          <w:sz w:val="16"/>
          <w:szCs w:val="16"/>
          <w:lang w:val="en-US" w:eastAsia="zh-CN"/>
        </w:rPr>
        <w:t>lip2000高效DNA</w:t>
      </w:r>
      <w:r>
        <w:rPr>
          <w:rFonts w:hint="eastAsia"/>
          <w:spacing w:val="-1"/>
          <w:w w:val="95"/>
          <w:sz w:val="16"/>
          <w:szCs w:val="16"/>
          <w:lang w:val="en-US" w:eastAsia="zh-CN"/>
        </w:rPr>
        <w:t xml:space="preserve"> </w:t>
      </w:r>
      <w:r>
        <w:rPr>
          <w:rFonts w:hint="default"/>
          <w:spacing w:val="-1"/>
          <w:w w:val="95"/>
          <w:sz w:val="16"/>
          <w:szCs w:val="16"/>
          <w:lang w:val="en-US" w:eastAsia="zh-CN"/>
        </w:rPr>
        <w:t>TR转染细胞时，基本不受细胞培养液中血清影响，即可以在血清存在的情况下进行细胞转染。但为了取得最佳的转染效果，推荐转染时使用不含抗生素培养液。转染后不必去除转染液，或者改变或添加培养基，但转染4</w:t>
      </w:r>
      <w:r>
        <w:rPr>
          <w:rFonts w:hint="eastAsia"/>
          <w:spacing w:val="-1"/>
          <w:w w:val="95"/>
          <w:sz w:val="16"/>
          <w:szCs w:val="16"/>
          <w:lang w:val="en-US" w:eastAsia="zh-CN"/>
        </w:rPr>
        <w:t>～</w:t>
      </w:r>
      <w:r>
        <w:rPr>
          <w:rFonts w:hint="default"/>
          <w:spacing w:val="-1"/>
          <w:w w:val="95"/>
          <w:sz w:val="16"/>
          <w:szCs w:val="16"/>
          <w:lang w:val="en-US" w:eastAsia="zh-CN"/>
        </w:rPr>
        <w:t>6 h 后可去除转染液。</w:t>
      </w:r>
    </w:p>
    <w:p>
      <w:pPr>
        <w:pStyle w:val="4"/>
        <w:spacing w:before="1" w:line="249" w:lineRule="auto"/>
        <w:ind w:right="741" w:firstLine="320" w:firstLineChars="200"/>
        <w:rPr>
          <w:sz w:val="16"/>
          <w:szCs w:val="16"/>
        </w:rPr>
      </w:pP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产品信息</w:t>
      </w:r>
    </w:p>
    <w:tbl>
      <w:tblPr>
        <w:tblStyle w:val="8"/>
        <w:tblpPr w:leftFromText="180" w:rightFromText="180" w:vertAnchor="text" w:horzAnchor="page" w:tblpX="2046" w:tblpY="2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32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95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320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货号</w:t>
            </w:r>
          </w:p>
        </w:tc>
        <w:tc>
          <w:tcPr>
            <w:tcW w:w="1223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95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Lip2000转染试剂</w:t>
            </w:r>
          </w:p>
        </w:tc>
        <w:tc>
          <w:tcPr>
            <w:tcW w:w="1320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  <w:t>HZ-015</w:t>
            </w:r>
          </w:p>
        </w:tc>
        <w:tc>
          <w:tcPr>
            <w:tcW w:w="1223" w:type="dxa"/>
          </w:tcPr>
          <w:p>
            <w:pPr>
              <w:bidi w:val="0"/>
              <w:rPr>
                <w:rFonts w:hint="default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1.5ml</w:t>
            </w:r>
          </w:p>
        </w:tc>
      </w:tr>
    </w:tbl>
    <w:p>
      <w:pPr>
        <w:pStyle w:val="4"/>
        <w:spacing w:before="1" w:line="249" w:lineRule="auto"/>
        <w:ind w:right="741" w:firstLine="360"/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使用方法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DNA转染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对大多数细胞来说，DNA (ug) 与lip2000高效DNA TR (ul) 的比例为1:2~1:3。转染时高的细胞密度可以得到高的转染效率和表达水平，并能减少细胞毒性。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1. 以24孔板为例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贴壁细胞：转染前一天，用500 ul不含抗生素的培养基接种0.5～2×105 细胞，使之第二天能达到80～90% 融合。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悬浮细胞：在准备DNA-TR LIP2000 DNA复合物之前，用500 ul不含抗生素的培养基接种4～8×105 细胞即可。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2. 对每个转染样品，进行以下操作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a. 在 eppendorf 管里分别加入50 ul Opti-MEM I ReLipced Serum Medium和0.8 ug DNA轻柔混匀（不能涡旋或离心），制成DNA稀释液。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b. 在另一个eppendorf管里分别加入50 ul Opti-MEM I ReLipced Serum Medium和2.0 ul lip2000高效DNA TR（注意用前先混匀），轻柔混匀，制成lip2000高效DNA TR 稀释液，室温静置5分钟。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c. 将DNA稀释液和lip2000高效DNA TR稀释液混合，轻柔混匀，室温静置20分钟，形成DNA-lip2000高效DNA TR复合物。DNA - lip2000高效DNA TR复合物在室温下可稳定存在6小时。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3. 将DNA-lip2000高效DNA TR复合物加入到接种好的细胞中，将培养板轻轻地前后摇动，使复合物分散均匀。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4. 在37℃ CO2培养箱中培养4～6小时后更换培养基，继续培养18～48小时。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5. 如果要筛选稳定细胞株，则在转染24小时后将细胞按照1:10或更高的比例接种到新鲜培养基中，第二天加入选择性培养基进行筛选。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优化DNA转染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  <w:r>
        <w:rPr>
          <w:rFonts w:hint="eastAsia"/>
          <w:spacing w:val="-1"/>
          <w:w w:val="95"/>
          <w:sz w:val="16"/>
          <w:szCs w:val="16"/>
        </w:rPr>
        <w:t>质粒DNA转染的优化为达到最高的转染效率和降低细胞毒性的影响，可以对DNA和lip2000高效DNA TR的比例以及细胞密度进行优化，一般在1:0.5~1:5的范围内优化DNA（ug）和lip2000高效DNA TR（ul） 的比例。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</w:rPr>
      </w:pPr>
    </w:p>
    <w:p>
      <w:pPr>
        <w:pStyle w:val="4"/>
        <w:spacing w:before="1" w:line="249" w:lineRule="auto"/>
        <w:ind w:right="741" w:firstLine="301" w:firstLineChars="200"/>
        <w:rPr>
          <w:rFonts w:hint="eastAsia" w:ascii="宋体" w:hAnsi="宋体" w:eastAsia="宋体" w:cs="宋体"/>
          <w:spacing w:val="-1"/>
          <w:w w:val="95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w w:val="95"/>
          <w:sz w:val="16"/>
          <w:szCs w:val="16"/>
          <w:lang w:val="en-US" w:eastAsia="zh-CN"/>
        </w:rPr>
        <w:t>不同细胞培养板中转染时培养基、核酸及lip2000高效DNA TR用量</w:t>
      </w:r>
    </w:p>
    <w:tbl>
      <w:tblPr>
        <w:tblStyle w:val="8"/>
        <w:tblpPr w:leftFromText="180" w:rightFromText="180" w:vertAnchor="text" w:horzAnchor="page" w:tblpX="1896" w:tblpY="24"/>
        <w:tblOverlap w:val="never"/>
        <w:tblW w:w="6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3"/>
        <w:gridCol w:w="1113"/>
        <w:gridCol w:w="1114"/>
        <w:gridCol w:w="1113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12" w:type="dxa"/>
            <w:vMerge w:val="restart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细胞培养板</w:t>
            </w:r>
          </w:p>
        </w:tc>
        <w:tc>
          <w:tcPr>
            <w:tcW w:w="1113" w:type="dxa"/>
            <w:vMerge w:val="restart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每孔面积</w:t>
            </w:r>
          </w:p>
        </w:tc>
        <w:tc>
          <w:tcPr>
            <w:tcW w:w="2227" w:type="dxa"/>
            <w:gridSpan w:val="2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培养基用量</w:t>
            </w:r>
          </w:p>
        </w:tc>
        <w:tc>
          <w:tcPr>
            <w:tcW w:w="2227" w:type="dxa"/>
            <w:gridSpan w:val="2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DNA转染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2" w:type="dxa"/>
            <w:vMerge w:val="continue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vMerge w:val="continue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铺板培养基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稀释培养基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DNA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shd w:val="clear" w:color="auto" w:fill="auto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转染试剂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96 well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0.3 cm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100 ul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2×25 ul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0.2 ug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24 well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 cm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500 ul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2×50 ul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0.8 ug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2.0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12 well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4 cm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 ml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2×100 ul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1.6 ug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4.0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6 well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10 cm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 ml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2×250 ul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4.0 ug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10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60 mm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20 cm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5 ml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2×0.5 ml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8.0 ug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20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10 cm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60 cm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2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15 ml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2×1.5 ml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24 ug</w:t>
            </w:r>
          </w:p>
        </w:tc>
        <w:tc>
          <w:tcPr>
            <w:tcW w:w="111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60 ul</w:t>
            </w:r>
          </w:p>
        </w:tc>
      </w:tr>
    </w:tbl>
    <w:p>
      <w:pPr>
        <w:pStyle w:val="4"/>
        <w:spacing w:before="1" w:line="249" w:lineRule="auto"/>
        <w:ind w:left="0" w:leftChars="0" w:right="741" w:firstLine="0" w:firstLineChars="0"/>
        <w:rPr>
          <w:rFonts w:hint="eastAsia" w:ascii="宋体" w:hAnsi="宋体" w:eastAsia="宋体" w:cs="宋体"/>
          <w:spacing w:val="-1"/>
          <w:w w:val="95"/>
          <w:sz w:val="16"/>
          <w:szCs w:val="1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300" w:firstLineChars="200"/>
        <w:textAlignment w:val="auto"/>
        <w:rPr>
          <w:rFonts w:hint="eastAsia" w:ascii="宋体" w:hAnsi="宋体" w:eastAsia="宋体" w:cs="宋体"/>
          <w:spacing w:val="-1"/>
          <w:w w:val="95"/>
          <w:kern w:val="2"/>
          <w:sz w:val="16"/>
          <w:szCs w:val="1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textAlignment w:val="auto"/>
        <w:rPr>
          <w:rFonts w:hint="eastAsia" w:ascii="宋体" w:hAnsi="宋体" w:eastAsia="宋体" w:cs="宋体"/>
          <w:spacing w:val="-1"/>
          <w:w w:val="95"/>
          <w:kern w:val="2"/>
          <w:sz w:val="16"/>
          <w:szCs w:val="1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textAlignment w:val="auto"/>
        <w:rPr>
          <w:rFonts w:hint="eastAsia" w:ascii="宋体" w:hAnsi="宋体" w:eastAsia="宋体" w:cs="宋体"/>
          <w:spacing w:val="-1"/>
          <w:w w:val="95"/>
          <w:kern w:val="2"/>
          <w:sz w:val="16"/>
          <w:szCs w:val="1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301" w:firstLineChars="200"/>
        <w:textAlignment w:val="auto"/>
        <w:rPr>
          <w:rFonts w:hint="eastAsia" w:ascii="宋体" w:hAnsi="宋体" w:eastAsia="宋体" w:cs="宋体"/>
          <w:b/>
          <w:bCs/>
          <w:spacing w:val="-1"/>
          <w:w w:val="95"/>
          <w:kern w:val="2"/>
          <w:sz w:val="16"/>
          <w:szCs w:val="1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pacing w:val="-1"/>
          <w:w w:val="95"/>
          <w:kern w:val="2"/>
          <w:sz w:val="16"/>
          <w:szCs w:val="16"/>
          <w:lang w:val="en-US" w:eastAsia="zh-CN" w:bidi="ar-SA"/>
        </w:rPr>
        <w:t>Lip转染试剂用于不同细胞转染时用量参考（以.96孔板为例）</w:t>
      </w:r>
    </w:p>
    <w:tbl>
      <w:tblPr>
        <w:tblStyle w:val="8"/>
        <w:tblW w:w="6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735"/>
        <w:gridCol w:w="1470"/>
        <w:gridCol w:w="1095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4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细胞型号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培养基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每孔细胞数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DNA的量</w:t>
            </w:r>
          </w:p>
        </w:tc>
        <w:tc>
          <w:tcPr>
            <w:tcW w:w="985" w:type="dxa"/>
            <w:tcBorders>
              <w:tl2br w:val="nil"/>
              <w:tr2bl w:val="nil"/>
            </w:tcBorders>
            <w:shd w:val="clear" w:color="auto" w:fill="30C0B4" w:themeFill="accent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转染试剂量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293H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DMEM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3×10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0.2 ug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293FT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DMEM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3×10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0.2 ug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293E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DMEM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3×10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0.2 ug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293F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DMEM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3×10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0.2 ug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COS7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DMEM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1.5×10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0.4 ug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hela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DMEM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2×10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0.3 ug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Caco2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MEM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3.5×10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0.3 ug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0.75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BHK21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MEM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2×10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0.2 ug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CHO-DG44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DMEM+HT+pro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2×10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ug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RAW264.7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DMEM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3×10</w:t>
            </w:r>
            <w:r>
              <w:rPr>
                <w:rFonts w:hint="eastAsia" w:ascii="Times New Roman" w:hAnsi="Times New Roman" w:cs="Times New Roman"/>
                <w:sz w:val="20"/>
                <w:szCs w:val="20"/>
                <w:vertAlign w:val="superscript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0.2 ug</w:t>
            </w:r>
          </w:p>
        </w:tc>
        <w:tc>
          <w:tcPr>
            <w:tcW w:w="9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vertAlign w:val="baseline"/>
                <w:lang w:val="en-US" w:eastAsia="zh-CN"/>
              </w:rPr>
              <w:t>0.5 ul</w:t>
            </w: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</w:t>
      </w:r>
    </w:p>
    <w:p>
      <w:pPr>
        <w:pStyle w:val="4"/>
        <w:spacing w:before="1" w:line="249" w:lineRule="auto"/>
        <w:ind w:right="741" w:firstLine="750" w:firstLineChars="500"/>
        <w:rPr>
          <w:rFonts w:hint="eastAsia"/>
          <w:spacing w:val="-1"/>
          <w:w w:val="95"/>
          <w:sz w:val="16"/>
          <w:szCs w:val="16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1.使用高纯度的DNA有助于获得较高的转染效率。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2.转染前细胞必须处于良好的生长状态。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3.需自备不含抗生素的无血清培养液或Opti-MEM®培养液或普通的DMEM 培养液。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4.lip 2000 高效 DNA TR转染试剂不能vortex 或离心，宜缓慢晃动混匀。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5.转染试剂使用后</w:t>
      </w:r>
      <w:bookmarkStart w:id="0" w:name="_GoBack"/>
      <w:bookmarkEnd w:id="0"/>
      <w:r>
        <w:rPr>
          <w:rFonts w:hint="eastAsia"/>
          <w:spacing w:val="-1"/>
          <w:w w:val="95"/>
          <w:sz w:val="16"/>
          <w:szCs w:val="16"/>
          <w:lang w:val="en-US" w:eastAsia="zh-CN"/>
        </w:rPr>
        <w:t>请立即盖好盖子，避免长时间暴露空气中。</w:t>
      </w:r>
    </w:p>
    <w:p>
      <w:pPr>
        <w:pStyle w:val="4"/>
        <w:spacing w:before="1" w:line="249" w:lineRule="auto"/>
        <w:ind w:right="741" w:firstLine="300" w:firstLineChars="200"/>
        <w:rPr>
          <w:rFonts w:hint="eastAsia"/>
          <w:spacing w:val="-1"/>
          <w:w w:val="95"/>
          <w:sz w:val="16"/>
          <w:szCs w:val="16"/>
          <w:lang w:val="en-US" w:eastAsia="zh-CN"/>
        </w:rPr>
      </w:pPr>
      <w:r>
        <w:rPr>
          <w:rFonts w:hint="eastAsia"/>
          <w:spacing w:val="-1"/>
          <w:w w:val="95"/>
          <w:sz w:val="16"/>
          <w:szCs w:val="16"/>
          <w:lang w:val="en-US" w:eastAsia="zh-CN"/>
        </w:rPr>
        <w:t>6.为了您的安全和健康，请穿实验服并戴一次性手套操作。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equalWidth="0" w:num="2">
        <w:col w:w="6766" w:space="425"/>
        <w:col w:w="676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color w:val="249087" w:themeColor="accent5" w:themeShade="BF"/>
        <w:sz w:val="18"/>
        <w:szCs w:val="18"/>
        <w:shd w:val="clear" w:color="auto" w:fill="auto"/>
        <w:lang w:val="en-US" w:eastAsia="zh-CN"/>
      </w:rPr>
    </w:pP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fldChar w:fldCharType="begin"/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instrText xml:space="preserve"> HYPERLINK "http://www.chuanqiu.com" </w:instrText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fldChar w:fldCharType="separate"/>
    </w:r>
    <w:r>
      <w:rPr>
        <w:rStyle w:val="10"/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t>www.chuanqiubio.com</w:t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fldChar w:fldCharType="end"/>
    </w:r>
    <w:r>
      <w:rPr>
        <w:rFonts w:hint="eastAsia"/>
        <w:color w:val="249087" w:themeColor="accent5" w:themeShade="BF"/>
        <w:sz w:val="18"/>
        <w:szCs w:val="18"/>
        <w:shd w:val="clear" w:color="auto" w:fill="auto"/>
        <w:lang w:val="en-US" w:eastAsia="zh-CN"/>
      </w:rPr>
      <w:t xml:space="preserve">                                                                                          上海市嘉定区翔江公路518号寅尚产业园D座210室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83360" cy="454025"/>
          <wp:effectExtent l="0" t="0" r="2540" b="3175"/>
          <wp:docPr id="2" name="图片 2" descr="HAKATALOGO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HAKATALOGO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36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MmFkZWNkYmU2ZjcxMGVmYzMyOTUxNDE3YTJiYjgifQ=="/>
  </w:docVars>
  <w:rsids>
    <w:rsidRoot w:val="00000000"/>
    <w:rsid w:val="12FE4AD2"/>
    <w:rsid w:val="220F75DF"/>
    <w:rsid w:val="311E153D"/>
    <w:rsid w:val="3BEB3A3D"/>
    <w:rsid w:val="439E472B"/>
    <w:rsid w:val="574546CA"/>
    <w:rsid w:val="65B8082F"/>
    <w:rsid w:val="65CA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532"/>
    </w:pPr>
    <w:rPr>
      <w:rFonts w:ascii="宋体" w:hAnsi="宋体" w:eastAsia="宋体" w:cs="宋体"/>
      <w:sz w:val="18"/>
      <w:szCs w:val="18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标题 3 Char"/>
    <w:link w:val="3"/>
    <w:autoRedefine/>
    <w:qFormat/>
    <w:uiPriority w:val="0"/>
    <w:rPr>
      <w:b/>
      <w:sz w:val="32"/>
    </w:rPr>
  </w:style>
  <w:style w:type="paragraph" w:styleId="12">
    <w:name w:val="List Paragraph"/>
    <w:basedOn w:val="1"/>
    <w:autoRedefine/>
    <w:qFormat/>
    <w:uiPriority w:val="1"/>
    <w:pPr>
      <w:ind w:left="532" w:right="828" w:firstLine="36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2024-01-15T07:02:00Z</dcterms:created>
  <dc:creator>123</dc:creator>
  <cp:lastModifiedBy>123</cp:lastModifiedBy>
  <cp:lastPrinted>2024-02-22T03:35:00Z</cp:lastPrinted>
  <dcterms:modified xsi:type="dcterms:W3CDTF">2024-03-01T07:54:17Z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A38269221D524CB8A88B4ADD7F9C2DCA_13</vt:lpwstr>
  </property>
</Properties>
</file>